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B8" w:rsidRPr="00C964B8" w:rsidRDefault="00C964B8" w:rsidP="00C964B8">
      <w:pPr>
        <w:pStyle w:val="Oberzeile"/>
        <w:rPr>
          <w:sz w:val="28"/>
          <w:szCs w:val="28"/>
          <w:lang w:val="en-US"/>
        </w:rPr>
      </w:pPr>
      <w:bookmarkStart w:id="0" w:name="_GoBack"/>
      <w:bookmarkEnd w:id="0"/>
      <w:r w:rsidRPr="00C964B8">
        <w:rPr>
          <w:sz w:val="28"/>
          <w:szCs w:val="28"/>
          <w:lang w:val="en-US"/>
        </w:rPr>
        <w:t xml:space="preserve">Soplantes de tornillo </w:t>
      </w:r>
      <w:r w:rsidR="000307F9">
        <w:rPr>
          <w:sz w:val="28"/>
          <w:szCs w:val="28"/>
          <w:lang w:val="en-US"/>
        </w:rPr>
        <w:t>F</w:t>
      </w:r>
      <w:r w:rsidRPr="00C964B8">
        <w:rPr>
          <w:sz w:val="28"/>
          <w:szCs w:val="28"/>
          <w:lang w:val="en-US"/>
        </w:rPr>
        <w:t>BS</w:t>
      </w:r>
    </w:p>
    <w:p w:rsidR="00C964B8" w:rsidRPr="000307F9" w:rsidRDefault="00C964B8" w:rsidP="00C964B8">
      <w:pPr>
        <w:pStyle w:val="Vorspann"/>
        <w:rPr>
          <w:sz w:val="72"/>
          <w:szCs w:val="72"/>
          <w:lang w:val="es-ES"/>
        </w:rPr>
      </w:pPr>
      <w:r w:rsidRPr="000307F9">
        <w:rPr>
          <w:lang w:val="es-ES"/>
        </w:rPr>
        <w:t>Eficiencia en estado puro</w:t>
      </w:r>
    </w:p>
    <w:p w:rsidR="00C964B8" w:rsidRPr="000307F9" w:rsidRDefault="00C964B8" w:rsidP="00C964B8">
      <w:pPr>
        <w:pStyle w:val="Flietext"/>
        <w:rPr>
          <w:lang w:val="es-ES"/>
        </w:rPr>
      </w:pPr>
      <w:r w:rsidRPr="000307F9">
        <w:rPr>
          <w:lang w:val="es-ES"/>
        </w:rPr>
        <w:t xml:space="preserve">Las soplantes de tornillo </w:t>
      </w:r>
      <w:r w:rsidR="0093779A">
        <w:rPr>
          <w:lang w:val="es-ES"/>
        </w:rPr>
        <w:t>F</w:t>
      </w:r>
      <w:r w:rsidRPr="000307F9">
        <w:rPr>
          <w:lang w:val="es-ES"/>
        </w:rPr>
        <w:t xml:space="preserve">BS de KAESER </w:t>
      </w:r>
      <w:r w:rsidR="0093779A">
        <w:rPr>
          <w:lang w:val="es-ES"/>
        </w:rPr>
        <w:t xml:space="preserve">son el siguiente escalón en la evolución </w:t>
      </w:r>
      <w:r w:rsidRPr="000307F9">
        <w:rPr>
          <w:lang w:val="es-ES"/>
        </w:rPr>
        <w:t>de las soplantes libres de aceite, unas máquinas que se utilizan sobre todo en el sector de la gestión hidrológica.</w:t>
      </w:r>
    </w:p>
    <w:p w:rsidR="00C964B8" w:rsidRPr="000307F9" w:rsidRDefault="00C964B8" w:rsidP="00C964B8">
      <w:pPr>
        <w:pStyle w:val="Flietext"/>
        <w:rPr>
          <w:b w:val="0"/>
          <w:lang w:val="es-ES"/>
        </w:rPr>
      </w:pPr>
      <w:r w:rsidRPr="000307F9">
        <w:rPr>
          <w:b w:val="0"/>
          <w:lang w:val="es-ES"/>
        </w:rPr>
        <w:t>Con un flujo volumétrico de 1</w:t>
      </w:r>
      <w:r w:rsidR="0093779A">
        <w:rPr>
          <w:b w:val="0"/>
          <w:lang w:val="es-ES"/>
        </w:rPr>
        <w:t>8</w:t>
      </w:r>
      <w:r w:rsidRPr="000307F9">
        <w:rPr>
          <w:b w:val="0"/>
          <w:lang w:val="es-ES"/>
        </w:rPr>
        <w:t xml:space="preserve"> a </w:t>
      </w:r>
      <w:r w:rsidR="0093779A">
        <w:rPr>
          <w:b w:val="0"/>
          <w:lang w:val="es-ES"/>
        </w:rPr>
        <w:t>72</w:t>
      </w:r>
      <w:r w:rsidRPr="000307F9">
        <w:rPr>
          <w:b w:val="0"/>
          <w:lang w:val="es-ES"/>
        </w:rPr>
        <w:t xml:space="preserve"> m³/min, diferencias de presión de 0,3 a 1,1 </w:t>
      </w:r>
      <w:r w:rsidR="0093779A">
        <w:rPr>
          <w:b w:val="0"/>
          <w:lang w:val="es-ES"/>
        </w:rPr>
        <w:t xml:space="preserve">bar </w:t>
      </w:r>
      <w:r w:rsidRPr="000307F9">
        <w:rPr>
          <w:b w:val="0"/>
          <w:lang w:val="es-ES"/>
        </w:rPr>
        <w:t xml:space="preserve">y motorizaciones desde </w:t>
      </w:r>
      <w:r w:rsidR="0093779A">
        <w:rPr>
          <w:b w:val="0"/>
          <w:lang w:val="es-ES"/>
        </w:rPr>
        <w:t>45</w:t>
      </w:r>
      <w:r w:rsidRPr="000307F9">
        <w:rPr>
          <w:b w:val="0"/>
          <w:lang w:val="es-ES"/>
        </w:rPr>
        <w:t xml:space="preserve"> hasta </w:t>
      </w:r>
      <w:r w:rsidR="0093779A">
        <w:rPr>
          <w:b w:val="0"/>
          <w:lang w:val="es-ES"/>
        </w:rPr>
        <w:t>110</w:t>
      </w:r>
      <w:r w:rsidRPr="000307F9">
        <w:rPr>
          <w:b w:val="0"/>
          <w:lang w:val="es-ES"/>
        </w:rPr>
        <w:t xml:space="preserve"> kW, las unidades </w:t>
      </w:r>
      <w:r w:rsidR="0093779A">
        <w:rPr>
          <w:b w:val="0"/>
          <w:lang w:val="es-ES"/>
        </w:rPr>
        <w:t>F</w:t>
      </w:r>
      <w:r w:rsidRPr="000307F9">
        <w:rPr>
          <w:b w:val="0"/>
          <w:lang w:val="es-ES"/>
        </w:rPr>
        <w:t>BS imponen un nuevo rasero en eficiencia energética, necesidad de espacio y automatización</w:t>
      </w:r>
      <w:r w:rsidR="0093779A">
        <w:rPr>
          <w:b w:val="0"/>
          <w:lang w:val="es-ES"/>
        </w:rPr>
        <w:t xml:space="preserve">, escribiendo un nuevo capítulo de la historia de éxito de la serie inmediatamente inferior, la de las soplantes EBS. </w:t>
      </w:r>
    </w:p>
    <w:p w:rsidR="00C964B8" w:rsidRPr="000307F9" w:rsidRDefault="00C964B8" w:rsidP="00C964B8">
      <w:pPr>
        <w:pStyle w:val="Flietext"/>
        <w:rPr>
          <w:b w:val="0"/>
          <w:lang w:val="es-ES"/>
        </w:rPr>
      </w:pPr>
      <w:r w:rsidRPr="000307F9">
        <w:rPr>
          <w:b w:val="0"/>
          <w:lang w:val="es-ES"/>
        </w:rPr>
        <w:t xml:space="preserve">La versión SFC está equipada con un convertidor de frecuencia </w:t>
      </w:r>
      <w:r w:rsidR="0093779A">
        <w:rPr>
          <w:b w:val="0"/>
          <w:lang w:val="es-ES"/>
        </w:rPr>
        <w:t xml:space="preserve">integrado </w:t>
      </w:r>
      <w:r w:rsidRPr="000307F9">
        <w:rPr>
          <w:b w:val="0"/>
          <w:lang w:val="es-ES"/>
        </w:rPr>
        <w:t>y un motor síncrono de reluctancia. Este tipo de motor no presenta deslizamiento y aúna las ventajas de los motores de imanes permanentes, de altísima eficiencia, y las de los motores asíncronos, robustos y con poca necesidad de mantenimiento. La velocidad variable permite ajustar el flujo volumétrico a la demanda y un campo de regulación de 1:4 muy dinámico.</w:t>
      </w:r>
    </w:p>
    <w:p w:rsidR="00C964B8" w:rsidRPr="000307F9" w:rsidRDefault="00C964B8" w:rsidP="00C964B8">
      <w:pPr>
        <w:pStyle w:val="Flietext"/>
        <w:rPr>
          <w:b w:val="0"/>
          <w:lang w:val="es-ES"/>
        </w:rPr>
      </w:pPr>
      <w:r w:rsidRPr="000307F9">
        <w:rPr>
          <w:b w:val="0"/>
          <w:lang w:val="es-ES"/>
        </w:rPr>
        <w:t>La versión STC es aún más eficiente, ya que cuenta con un motor Super Premium Efficiency IE4, que contribuye a reducir aún más el consumo y los costes de energía.</w:t>
      </w:r>
    </w:p>
    <w:p w:rsidR="00C964B8" w:rsidRPr="000307F9" w:rsidRDefault="00C964B8" w:rsidP="00C964B8">
      <w:pPr>
        <w:pStyle w:val="Flietext"/>
        <w:rPr>
          <w:b w:val="0"/>
          <w:lang w:val="es-ES"/>
        </w:rPr>
      </w:pPr>
      <w:r w:rsidRPr="000307F9">
        <w:rPr>
          <w:b w:val="0"/>
          <w:lang w:val="es-ES"/>
        </w:rPr>
        <w:t xml:space="preserve">Ambas versiones tienen en común la transmisión de la fuerza del motor al compresor, que corre a cargo de un engranaje sin pérdidas y sin mantenimiento. Su rendimiento específico es hasta un </w:t>
      </w:r>
      <w:r w:rsidR="0093779A">
        <w:rPr>
          <w:b w:val="0"/>
          <w:lang w:val="es-ES"/>
        </w:rPr>
        <w:t>siete</w:t>
      </w:r>
      <w:r w:rsidRPr="000307F9">
        <w:rPr>
          <w:b w:val="0"/>
          <w:lang w:val="es-ES"/>
        </w:rPr>
        <w:t xml:space="preserve"> por ciento mejor comparado con los modelos anteriores. La unidad completa consigue un </w:t>
      </w:r>
      <w:r w:rsidR="0093779A">
        <w:rPr>
          <w:b w:val="0"/>
          <w:lang w:val="es-ES"/>
        </w:rPr>
        <w:t>campo</w:t>
      </w:r>
      <w:r w:rsidRPr="000307F9">
        <w:rPr>
          <w:b w:val="0"/>
          <w:lang w:val="es-ES"/>
        </w:rPr>
        <w:t xml:space="preserve"> de rendimiento </w:t>
      </w:r>
      <w:r w:rsidR="0093779A">
        <w:rPr>
          <w:b w:val="0"/>
          <w:lang w:val="es-ES"/>
        </w:rPr>
        <w:t>puntero en este segmento de máquinas</w:t>
      </w:r>
      <w:r w:rsidRPr="000307F9">
        <w:rPr>
          <w:b w:val="0"/>
          <w:lang w:val="es-ES"/>
        </w:rPr>
        <w:t>. Y para que los valores previstos se cumplan realmente, Kaeser los garantiza acorde a las estrechas tolerancias de la ISO 1217-C/E.</w:t>
      </w:r>
    </w:p>
    <w:p w:rsidR="00C964B8" w:rsidRPr="000307F9" w:rsidRDefault="00C964B8" w:rsidP="00C964B8">
      <w:pPr>
        <w:pStyle w:val="Flietext"/>
        <w:rPr>
          <w:b w:val="0"/>
          <w:lang w:val="es-ES"/>
        </w:rPr>
      </w:pPr>
      <w:r w:rsidRPr="000307F9">
        <w:rPr>
          <w:b w:val="0"/>
          <w:lang w:val="es-ES"/>
        </w:rPr>
        <w:t>Además, tanto el grado de rendimiento como el flujo volumétrico se mantienen homogéneos a lo largo de todo el amplio campo de regulación, lo cual permite controlar y regular muy bien las soplantes por medio de la técnica de mando. Esto también contribuye al ahorro y facilita la integración en el sistema de control.</w:t>
      </w:r>
    </w:p>
    <w:p w:rsidR="00C964B8" w:rsidRPr="000307F9" w:rsidRDefault="0093779A" w:rsidP="00C964B8">
      <w:pPr>
        <w:pStyle w:val="Flietext"/>
        <w:rPr>
          <w:b w:val="0"/>
          <w:lang w:val="es-ES"/>
        </w:rPr>
      </w:pPr>
      <w:r>
        <w:rPr>
          <w:b w:val="0"/>
          <w:lang w:val="es-ES"/>
        </w:rPr>
        <w:t xml:space="preserve">A pesar de sus compactas dimensiones, KAESER ha conseguido que el mantenimiento de las soplantes FBS pueda realizarse sin necesidad de acceder por sus laterales, de modo que </w:t>
      </w:r>
      <w:r w:rsidR="00C964B8" w:rsidRPr="000307F9">
        <w:rPr>
          <w:b w:val="0"/>
          <w:lang w:val="es-ES"/>
        </w:rPr>
        <w:t>las máquinas pueden instalarse unas junto a otras, lo cual permite ahorrar aún más espacio</w:t>
      </w:r>
      <w:r>
        <w:rPr>
          <w:b w:val="0"/>
          <w:lang w:val="es-ES"/>
        </w:rPr>
        <w:t xml:space="preserve">, especialmente si se instalan varias </w:t>
      </w:r>
      <w:r w:rsidR="00BE1192">
        <w:rPr>
          <w:b w:val="0"/>
          <w:lang w:val="es-ES"/>
        </w:rPr>
        <w:t>juntas</w:t>
      </w:r>
      <w:r>
        <w:rPr>
          <w:b w:val="0"/>
          <w:lang w:val="es-ES"/>
        </w:rPr>
        <w:t>.</w:t>
      </w:r>
    </w:p>
    <w:p w:rsidR="00C964B8" w:rsidRPr="000307F9" w:rsidRDefault="00C964B8" w:rsidP="00C964B8">
      <w:pPr>
        <w:pStyle w:val="Flietext"/>
        <w:rPr>
          <w:b w:val="0"/>
          <w:lang w:val="es-ES"/>
        </w:rPr>
      </w:pPr>
      <w:r w:rsidRPr="000307F9">
        <w:rPr>
          <w:b w:val="0"/>
          <w:lang w:val="es-ES"/>
        </w:rPr>
        <w:t xml:space="preserve">Las soplantes </w:t>
      </w:r>
      <w:r w:rsidR="00BE1192">
        <w:rPr>
          <w:b w:val="0"/>
          <w:lang w:val="es-ES"/>
        </w:rPr>
        <w:t>F</w:t>
      </w:r>
      <w:r w:rsidRPr="000307F9">
        <w:rPr>
          <w:b w:val="0"/>
          <w:lang w:val="es-ES"/>
        </w:rPr>
        <w:t xml:space="preserve">BS se entregan listas para la puesta en marcha, con controlador y convertidor de frecuencia o arranque estrella-triángulo. Todas llevan los sellos CE y </w:t>
      </w:r>
      <w:r w:rsidRPr="000307F9">
        <w:rPr>
          <w:b w:val="0"/>
          <w:lang w:val="es-ES"/>
        </w:rPr>
        <w:lastRenderedPageBreak/>
        <w:t>EMC, lo cual simplifica mucho las tareas de planificación, construcción, certificación, documentación y puesta en marcha, tanto para el usuario como para el planificador y el instalador. El eficaz aislamiento contra vibraciones y emisiones sonoras procura un funcionamiento silencioso.</w:t>
      </w:r>
    </w:p>
    <w:p w:rsidR="00C964B8" w:rsidRPr="000307F9" w:rsidRDefault="00C964B8" w:rsidP="00C964B8">
      <w:pPr>
        <w:pStyle w:val="Flietext"/>
        <w:rPr>
          <w:b w:val="0"/>
          <w:lang w:val="es-ES"/>
        </w:rPr>
      </w:pPr>
    </w:p>
    <w:p w:rsidR="00C964B8" w:rsidRPr="000307F9" w:rsidRDefault="00C964B8" w:rsidP="00C964B8">
      <w:pPr>
        <w:pBdr>
          <w:bottom w:val="single" w:sz="4" w:space="1" w:color="auto"/>
        </w:pBdr>
        <w:rPr>
          <w:lang w:val="es-ES"/>
        </w:rPr>
      </w:pPr>
      <w:r w:rsidRPr="000307F9">
        <w:rPr>
          <w:lang w:val="es-ES"/>
        </w:rPr>
        <w:t>Reproducción libre, solicite documento</w:t>
      </w:r>
    </w:p>
    <w:p w:rsidR="00C964B8" w:rsidRPr="000307F9" w:rsidRDefault="00C964B8" w:rsidP="00C964B8">
      <w:pPr>
        <w:pStyle w:val="MEHead"/>
        <w:spacing w:after="0"/>
        <w:rPr>
          <w:b w:val="0"/>
          <w:sz w:val="24"/>
          <w:szCs w:val="24"/>
          <w:lang w:val="es-ES"/>
        </w:rPr>
      </w:pPr>
      <w:r w:rsidRPr="000307F9">
        <w:rPr>
          <w:b w:val="0"/>
          <w:sz w:val="24"/>
          <w:szCs w:val="24"/>
          <w:lang w:val="es-ES"/>
        </w:rPr>
        <w:t xml:space="preserve">Foto: </w:t>
      </w:r>
    </w:p>
    <w:p w:rsidR="00C964B8" w:rsidRPr="000307F9" w:rsidRDefault="000A74B7" w:rsidP="00C964B8">
      <w:pPr>
        <w:pStyle w:val="MEHead"/>
        <w:spacing w:after="0"/>
        <w:rPr>
          <w:b w:val="0"/>
          <w:sz w:val="24"/>
          <w:szCs w:val="24"/>
          <w:lang w:val="es-ES"/>
        </w:rPr>
      </w:pPr>
      <w:r>
        <w:rPr>
          <w:rFonts w:eastAsia="Calibri"/>
          <w:b w:val="0"/>
          <w:bCs w:val="0"/>
          <w:noProof/>
          <w:lang w:val="en-GB"/>
        </w:rPr>
        <w:drawing>
          <wp:anchor distT="0" distB="0" distL="114300" distR="114300" simplePos="0" relativeHeight="251659264" behindDoc="0" locked="0" layoutInCell="1" allowOverlap="0" wp14:anchorId="33D59C4C" wp14:editId="24D9D3B9">
            <wp:simplePos x="0" y="0"/>
            <wp:positionH relativeFrom="margin">
              <wp:align>left</wp:align>
            </wp:positionH>
            <wp:positionV relativeFrom="paragraph">
              <wp:posOffset>483870</wp:posOffset>
            </wp:positionV>
            <wp:extent cx="929640" cy="657860"/>
            <wp:effectExtent l="0" t="0" r="3810" b="889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-FBS_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4B8" w:rsidRPr="000307F9">
        <w:rPr>
          <w:b w:val="0"/>
          <w:sz w:val="24"/>
          <w:szCs w:val="24"/>
          <w:lang w:val="es-ES"/>
        </w:rPr>
        <w:t xml:space="preserve"> </w:t>
      </w:r>
    </w:p>
    <w:p w:rsidR="00C964B8" w:rsidRPr="000307F9" w:rsidRDefault="00C964B8" w:rsidP="00C964B8">
      <w:pPr>
        <w:pStyle w:val="MEHead"/>
        <w:spacing w:before="0" w:after="0" w:line="240" w:lineRule="auto"/>
        <w:rPr>
          <w:b w:val="0"/>
          <w:sz w:val="24"/>
          <w:szCs w:val="24"/>
          <w:lang w:val="es-ES"/>
        </w:rPr>
      </w:pPr>
    </w:p>
    <w:p w:rsidR="000A74B7" w:rsidRDefault="000A74B7" w:rsidP="00C964B8">
      <w:pPr>
        <w:pStyle w:val="MEHead"/>
        <w:spacing w:before="0" w:after="0" w:line="240" w:lineRule="auto"/>
        <w:rPr>
          <w:b w:val="0"/>
          <w:sz w:val="24"/>
          <w:szCs w:val="24"/>
          <w:lang w:val="es-ES"/>
        </w:rPr>
      </w:pPr>
    </w:p>
    <w:p w:rsidR="000A74B7" w:rsidRDefault="000A74B7" w:rsidP="00C964B8">
      <w:pPr>
        <w:pStyle w:val="MEHead"/>
        <w:spacing w:before="0" w:after="0" w:line="240" w:lineRule="auto"/>
        <w:rPr>
          <w:b w:val="0"/>
          <w:sz w:val="24"/>
          <w:szCs w:val="24"/>
          <w:lang w:val="es-ES"/>
        </w:rPr>
      </w:pPr>
    </w:p>
    <w:p w:rsidR="000A74B7" w:rsidRDefault="000A74B7" w:rsidP="00C964B8">
      <w:pPr>
        <w:pStyle w:val="MEHead"/>
        <w:spacing w:before="0" w:after="0" w:line="240" w:lineRule="auto"/>
        <w:rPr>
          <w:b w:val="0"/>
          <w:sz w:val="24"/>
          <w:szCs w:val="24"/>
          <w:lang w:val="es-ES"/>
        </w:rPr>
      </w:pPr>
    </w:p>
    <w:p w:rsidR="00C964B8" w:rsidRPr="000307F9" w:rsidRDefault="00C964B8" w:rsidP="00C964B8">
      <w:pPr>
        <w:pStyle w:val="MEHead"/>
        <w:spacing w:before="0" w:after="0" w:line="240" w:lineRule="auto"/>
        <w:rPr>
          <w:b w:val="0"/>
          <w:sz w:val="24"/>
          <w:szCs w:val="24"/>
          <w:lang w:val="es-ES"/>
        </w:rPr>
      </w:pPr>
      <w:r w:rsidRPr="000307F9">
        <w:rPr>
          <w:b w:val="0"/>
          <w:sz w:val="24"/>
          <w:szCs w:val="24"/>
          <w:lang w:val="es-ES"/>
        </w:rPr>
        <w:t xml:space="preserve">Alta eficiencia y poca necesidad de espacio: esas son las virtudes de las </w:t>
      </w:r>
      <w:proofErr w:type="gramStart"/>
      <w:r w:rsidRPr="000307F9">
        <w:rPr>
          <w:b w:val="0"/>
          <w:sz w:val="24"/>
          <w:szCs w:val="24"/>
          <w:lang w:val="es-ES"/>
        </w:rPr>
        <w:t>nuevas soplantes</w:t>
      </w:r>
      <w:proofErr w:type="gramEnd"/>
      <w:r w:rsidRPr="000307F9">
        <w:rPr>
          <w:b w:val="0"/>
          <w:sz w:val="24"/>
          <w:szCs w:val="24"/>
          <w:lang w:val="es-ES"/>
        </w:rPr>
        <w:t xml:space="preserve"> de tornillo de la serie </w:t>
      </w:r>
      <w:r w:rsidR="00BE1192">
        <w:rPr>
          <w:b w:val="0"/>
          <w:sz w:val="24"/>
          <w:szCs w:val="24"/>
          <w:lang w:val="es-ES"/>
        </w:rPr>
        <w:t>F</w:t>
      </w:r>
      <w:r w:rsidRPr="000307F9">
        <w:rPr>
          <w:b w:val="0"/>
          <w:sz w:val="24"/>
          <w:szCs w:val="24"/>
          <w:lang w:val="es-ES"/>
        </w:rPr>
        <w:t xml:space="preserve">BS. </w:t>
      </w:r>
    </w:p>
    <w:p w:rsidR="00F45710" w:rsidRPr="000307F9" w:rsidRDefault="00F45710" w:rsidP="00FA2D6E">
      <w:pPr>
        <w:rPr>
          <w:lang w:val="es-ES"/>
        </w:rPr>
      </w:pPr>
    </w:p>
    <w:sectPr w:rsidR="00F45710" w:rsidRPr="000307F9" w:rsidSect="00BB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780" w:rsidRDefault="00A67780">
      <w:r>
        <w:separator/>
      </w:r>
    </w:p>
  </w:endnote>
  <w:endnote w:type="continuationSeparator" w:id="0">
    <w:p w:rsidR="00A67780" w:rsidRDefault="00A6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AE" w:rsidRDefault="006E54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07F9" w:rsidRDefault="00AD6C67">
                          <w:pPr>
                            <w:jc w:val="center"/>
                            <w:rPr>
                              <w:sz w:val="16"/>
                              <w:lang w:val="pt-P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07F9" w:rsidRDefault="00AD6C67">
                    <w:pPr>
                      <w:jc w:val="center"/>
                      <w:rPr>
                        <w:sz w:val="16"/>
                        <w:lang w:val="pt-P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780" w:rsidRDefault="00A67780">
      <w:r>
        <w:separator/>
      </w:r>
    </w:p>
  </w:footnote>
  <w:footnote w:type="continuationSeparator" w:id="0">
    <w:p w:rsidR="00A67780" w:rsidRDefault="00A6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AE" w:rsidRDefault="006E54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2D6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A2D6E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5A67A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38099</wp:posOffset>
          </wp:positionV>
          <wp:extent cx="2047875" cy="1020145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970" cy="102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15622"/>
    <w:rsid w:val="00023CA2"/>
    <w:rsid w:val="000307F9"/>
    <w:rsid w:val="00032B7B"/>
    <w:rsid w:val="00035DFA"/>
    <w:rsid w:val="000503AF"/>
    <w:rsid w:val="00063C06"/>
    <w:rsid w:val="00074E27"/>
    <w:rsid w:val="0007611D"/>
    <w:rsid w:val="000A5E2F"/>
    <w:rsid w:val="000A74B7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1CBA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A67A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3779A"/>
    <w:rsid w:val="0095795D"/>
    <w:rsid w:val="00973027"/>
    <w:rsid w:val="009A5C19"/>
    <w:rsid w:val="009B33F7"/>
    <w:rsid w:val="009B344E"/>
    <w:rsid w:val="009B496E"/>
    <w:rsid w:val="009C2214"/>
    <w:rsid w:val="009D118C"/>
    <w:rsid w:val="00A020D6"/>
    <w:rsid w:val="00A15908"/>
    <w:rsid w:val="00A20320"/>
    <w:rsid w:val="00A208D5"/>
    <w:rsid w:val="00A507B1"/>
    <w:rsid w:val="00A538BF"/>
    <w:rsid w:val="00A62264"/>
    <w:rsid w:val="00A67780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0549"/>
    <w:rsid w:val="00BE1192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964B8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A5096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2916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2022-05-17T04:29:00Z</dcterms:created>
  <dcterms:modified xsi:type="dcterms:W3CDTF">2022-05-17T04:29:00Z</dcterms:modified>
</cp:coreProperties>
</file>